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95" w:rsidRDefault="0070029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00295" w:rsidRDefault="0070029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002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295" w:rsidRDefault="00700295">
            <w:pPr>
              <w:pStyle w:val="ConsPlusNormal"/>
            </w:pPr>
            <w:r>
              <w:t>15 мая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0295" w:rsidRDefault="00700295">
            <w:pPr>
              <w:pStyle w:val="ConsPlusNormal"/>
              <w:jc w:val="right"/>
            </w:pPr>
            <w:r>
              <w:t>N 327</w:t>
            </w:r>
          </w:p>
        </w:tc>
      </w:tr>
    </w:tbl>
    <w:p w:rsidR="00700295" w:rsidRDefault="007002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295" w:rsidRDefault="00700295">
      <w:pPr>
        <w:pStyle w:val="ConsPlusNormal"/>
        <w:jc w:val="both"/>
      </w:pPr>
    </w:p>
    <w:p w:rsidR="00700295" w:rsidRDefault="00700295">
      <w:pPr>
        <w:pStyle w:val="ConsPlusTitle"/>
        <w:jc w:val="center"/>
      </w:pPr>
      <w:r>
        <w:t>УКАЗ</w:t>
      </w:r>
    </w:p>
    <w:p w:rsidR="00700295" w:rsidRDefault="00700295">
      <w:pPr>
        <w:pStyle w:val="ConsPlusTitle"/>
        <w:jc w:val="center"/>
      </w:pPr>
    </w:p>
    <w:p w:rsidR="00700295" w:rsidRDefault="00700295">
      <w:pPr>
        <w:pStyle w:val="ConsPlusTitle"/>
        <w:jc w:val="center"/>
      </w:pPr>
      <w:r>
        <w:t>ПРЕЗИДЕНТА РОССИЙСКОЙ ФЕДЕРАЦИИ</w:t>
      </w:r>
    </w:p>
    <w:p w:rsidR="00700295" w:rsidRDefault="00700295">
      <w:pPr>
        <w:pStyle w:val="ConsPlusTitle"/>
        <w:jc w:val="center"/>
      </w:pPr>
    </w:p>
    <w:p w:rsidR="00700295" w:rsidRDefault="00700295">
      <w:pPr>
        <w:pStyle w:val="ConsPlusTitle"/>
        <w:jc w:val="center"/>
      </w:pPr>
      <w:r>
        <w:t>О ЕДИНЫХ БАЗОВЫХ МЕРАХ</w:t>
      </w:r>
    </w:p>
    <w:p w:rsidR="00700295" w:rsidRDefault="00700295">
      <w:pPr>
        <w:pStyle w:val="ConsPlusTitle"/>
        <w:jc w:val="center"/>
      </w:pPr>
      <w:r>
        <w:t>ПОДДЕРЖКИ ЛИЦ, ПРИНИМАЮЩИХ (ПРИНИМАВШИХ) УЧАСТИЕ</w:t>
      </w:r>
    </w:p>
    <w:p w:rsidR="00700295" w:rsidRDefault="00700295">
      <w:pPr>
        <w:pStyle w:val="ConsPlusTitle"/>
        <w:jc w:val="center"/>
      </w:pPr>
      <w:r>
        <w:t>В СПЕЦИАЛЬНОЙ ВОЕННОЙ ОПЕРАЦИИ, И ДРУГИХ КАТЕГОРИЙ ЛИЦ</w:t>
      </w:r>
    </w:p>
    <w:p w:rsidR="00700295" w:rsidRDefault="00700295">
      <w:pPr>
        <w:pStyle w:val="ConsPlusTitle"/>
        <w:jc w:val="center"/>
      </w:pPr>
      <w:r>
        <w:t>В СУБЪЕКТАХ РОССИЙСКОЙ ФЕДЕРАЦИИ</w:t>
      </w:r>
    </w:p>
    <w:p w:rsidR="00700295" w:rsidRDefault="00700295">
      <w:pPr>
        <w:pStyle w:val="ConsPlusNormal"/>
        <w:ind w:firstLine="540"/>
        <w:jc w:val="both"/>
      </w:pPr>
    </w:p>
    <w:p w:rsidR="00700295" w:rsidRDefault="00700295">
      <w:pPr>
        <w:pStyle w:val="ConsPlusNormal"/>
        <w:ind w:firstLine="540"/>
        <w:jc w:val="both"/>
      </w:pPr>
      <w:r>
        <w:t>В целях обеспечения единообразного подхода в субъектах Российской Федерации к предоставлению мер поддержки лицам, принимающим (принимавшим) участие в специальной военной операции, и другим категориям лиц постановляю:</w:t>
      </w:r>
    </w:p>
    <w:p w:rsidR="00700295" w:rsidRDefault="00700295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единые базовые меры поддержки предоставляются в </w:t>
      </w:r>
      <w:proofErr w:type="gramStart"/>
      <w:r>
        <w:t>субъектах</w:t>
      </w:r>
      <w:proofErr w:type="gramEnd"/>
      <w:r>
        <w:t xml:space="preserve"> Российской Федерации:</w:t>
      </w:r>
    </w:p>
    <w:p w:rsidR="00700295" w:rsidRDefault="00700295">
      <w:pPr>
        <w:pStyle w:val="ConsPlusNormal"/>
        <w:spacing w:before="220"/>
        <w:ind w:firstLine="540"/>
        <w:jc w:val="both"/>
      </w:pPr>
      <w:bookmarkStart w:id="1" w:name="P15"/>
      <w:bookmarkEnd w:id="1"/>
      <w:proofErr w:type="gramStart"/>
      <w: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bookmarkStart w:id="2" w:name="P16"/>
      <w:bookmarkEnd w:id="2"/>
      <w: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700295" w:rsidRDefault="00700295">
      <w:pPr>
        <w:pStyle w:val="ConsPlusNormal"/>
        <w:spacing w:before="220"/>
        <w:ind w:firstLine="540"/>
        <w:jc w:val="both"/>
      </w:pPr>
      <w:bookmarkStart w:id="3" w:name="P17"/>
      <w:bookmarkEnd w:id="3"/>
      <w:proofErr w:type="gramStart"/>
      <w: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г) членам семей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</w:t>
        </w:r>
      </w:hyperlink>
      <w:r>
        <w:t xml:space="preserve">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>
        <w:t xml:space="preserve"> </w:t>
      </w:r>
      <w:proofErr w:type="gramStart"/>
      <w: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 мая 1996 г. N 61-ФЗ "Об обороне",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r>
        <w:t>2. Членами семьи признаются: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>а) супруг (супруга);</w:t>
      </w:r>
    </w:p>
    <w:p w:rsidR="00700295" w:rsidRDefault="00700295">
      <w:pPr>
        <w:pStyle w:val="ConsPlusNormal"/>
        <w:spacing w:before="220"/>
        <w:ind w:firstLine="540"/>
        <w:jc w:val="both"/>
      </w:pPr>
      <w:bookmarkStart w:id="4" w:name="P21"/>
      <w:bookmarkEnd w:id="4"/>
      <w:r>
        <w:t xml:space="preserve">б) дети, не достигшие возраста 18 лет, в том </w:t>
      </w:r>
      <w:proofErr w:type="gramStart"/>
      <w:r>
        <w:t>числе</w:t>
      </w:r>
      <w:proofErr w:type="gramEnd"/>
      <w:r>
        <w:t xml:space="preserve"> которые рождены после гибели (смерти)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и в отношении которых отцовство установлено в соответствии с </w:t>
      </w:r>
      <w:hyperlink r:id="rId7">
        <w:r>
          <w:rPr>
            <w:color w:val="0000FF"/>
          </w:rPr>
          <w:t>пунктом 2 статьи 48</w:t>
        </w:r>
      </w:hyperlink>
      <w:r>
        <w:t xml:space="preserve"> Семейного кодекса Российской Федерации;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lastRenderedPageBreak/>
        <w:t>в) дети старше 18 лет, ставшие инвалидами до достижения ими возраста 18 лет;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г) дети в </w:t>
      </w:r>
      <w:proofErr w:type="gramStart"/>
      <w:r>
        <w:t>возрасте</w:t>
      </w:r>
      <w:proofErr w:type="gramEnd"/>
      <w:r>
        <w:t xml:space="preserve"> до 23 лет, обучающиеся в организациях, осуществляющих образовательную деятельность, по очной форме обучения;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д) родители, проживающие совместно с лицами, названными в </w:t>
      </w:r>
      <w:hyperlink w:anchor="P15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либо проживавшие совместно с этими лицами на дату их гибели (смерти);</w:t>
      </w:r>
    </w:p>
    <w:p w:rsidR="00700295" w:rsidRDefault="00700295">
      <w:pPr>
        <w:pStyle w:val="ConsPlusNormal"/>
        <w:spacing w:before="220"/>
        <w:ind w:firstLine="540"/>
        <w:jc w:val="both"/>
      </w:pPr>
      <w:bookmarkStart w:id="5" w:name="P25"/>
      <w:bookmarkEnd w:id="5"/>
      <w:r>
        <w:t xml:space="preserve">е) лица, находящиеся на иждивении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либо находившиеся на иждивении этих лиц на дату их гибели (смерти).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>3. Рекомендовать высшим должностным лицам субъектов Российской Федерации: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>а) установить следующие единые базовые меры поддержки: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предоставление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льгот при посещении региональных и муниципальных организаций культуры, физической культуры и спорта, а также выставок, просветительских, физкультурных и спортивных мероприятий;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предоставление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субсидии в размере не менее 100 тыс. рублей, но не более суммы фактических затрат на одно домовладение на приобретение газового оборудования и проведение внутри границ земельных участков работ, необходимых для технологического присоединения к газораспределительным сетям, в случае проживания таких лиц в газифицированных населенных пунктах;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содействие приоритетному трудоустройству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их профессиональному обучению и (или) получению ими дополнительного профессионального образования, началу осуществления ими предпринимательской деятельности при условии, что они уволены с военной службы (службы, работы) или завершили исполнение контракта (иных правоотношений), а также оказание такого содействия членам семей, признанным в установленном порядке безработными;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оказание в приоритетном порядке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государственной социальной помощи, в том числе на основании социального контракта, в соответствии с условиями, установленными законодательством Российской Федерации;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предоставление лицам, названным в </w:t>
      </w:r>
      <w:hyperlink w:anchor="P14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Указа, дополнительных гарантий реализации права на получение бесплатной юридической помощи;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предоставление во внеочередном порядке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медицинской помощи и санаторно-курортного лечения;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оказание лицам, названным в </w:t>
      </w:r>
      <w:hyperlink w:anchor="P14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Указа, бесплатной психологической и психолого-психотерапевтической помощи;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зачисление (в том числе при переводе из одной государственной (муниципальной) организации, осуществляющей образовательную деятельность, в другую) в первоочередном порядке лиц, названных в </w:t>
      </w:r>
      <w:hyperlink w:anchor="P21">
        <w:r>
          <w:rPr>
            <w:color w:val="0000FF"/>
          </w:rPr>
          <w:t>подпунктах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в наиболее приближенные к месту жительства семьи государственные (муниципальные) образовательные организации, 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в том числе в</w:t>
      </w:r>
      <w:proofErr w:type="gramEnd"/>
      <w:r>
        <w:t xml:space="preserve"> группы продленного дня;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компенсация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платы, взимаемой с родителей (законных представителей) за присмотр и уход за лицами, названными в </w:t>
      </w:r>
      <w:hyperlink w:anchor="P21">
        <w:r>
          <w:rPr>
            <w:color w:val="0000FF"/>
          </w:rPr>
          <w:t>подпунктах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посещающими государственные (муниципальные) образовательные </w:t>
      </w:r>
      <w:r>
        <w:lastRenderedPageBreak/>
        <w:t>организации, осуществляющие образовательную деятельность по образовательным программам дошкольного образования, или освобождение от такой платы;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полное или частичное освобождение лиц, названных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от платы, взимаемой с родителей (законных представителей) за присмотр и уход за лицами, названными в </w:t>
      </w:r>
      <w:hyperlink w:anchor="P21">
        <w:r>
          <w:rPr>
            <w:color w:val="0000FF"/>
          </w:rPr>
          <w:t>подпунктах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в группах продленного дня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бесплатное посещение лицами, названными в </w:t>
      </w:r>
      <w:hyperlink w:anchor="P21">
        <w:r>
          <w:rPr>
            <w:color w:val="0000FF"/>
          </w:rPr>
          <w:t>подпунктах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занятий по дополнительным общеобразовательным программам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дополнительным общеобразовательным программам;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обеспечение бесплатным питанием (осуществление выплаты на питание) лиц, названных в </w:t>
      </w:r>
      <w:hyperlink w:anchor="P21">
        <w:r>
          <w:rPr>
            <w:color w:val="0000FF"/>
          </w:rPr>
          <w:t>подпунктах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обучающихся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обучающихся по очной форме обучения в государственных (муниципальных) образовательных организациях, осуществляющих образовательную деятельность по образовательным программам среднего профессионального образования;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предоставление в приоритетном порядке социальных услуг в форме социального обслуживания на дому, в полустационарной форме и в стационарной форме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признанным в установленном </w:t>
      </w:r>
      <w:proofErr w:type="gramStart"/>
      <w:r>
        <w:t>порядке</w:t>
      </w:r>
      <w:proofErr w:type="gramEnd"/>
      <w:r>
        <w:t xml:space="preserve"> нуждающимися в социальном обслуживании;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предоставление лицам, названным в </w:t>
      </w:r>
      <w:hyperlink w:anchor="P2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"б"</w:t>
        </w:r>
      </w:hyperlink>
      <w:r>
        <w:t xml:space="preserve"> и </w:t>
      </w:r>
      <w:hyperlink w:anchor="P25">
        <w:r>
          <w:rPr>
            <w:color w:val="0000FF"/>
          </w:rPr>
          <w:t>"е" пункта 2</w:t>
        </w:r>
      </w:hyperlink>
      <w:r>
        <w:t xml:space="preserve"> настоящего Указа, льготных путевок в организации отдыха детей и их оздоровления;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б) обеспечить предоставление единых базовых мер поддержки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на срок не менее чем до конца года, следующего за годом завершения специальной военной операции, а лицам, названным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</w:t>
      </w:r>
      <w:proofErr w:type="gramEnd"/>
      <w:r>
        <w:t xml:space="preserve">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погибших (умерших) в связи с участием в специальной военной операции, выполнением указанных задач, - бессрочно;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в) определить порядок и условия предоставления (в том числе с использованием государственных информационных систем) единых базовых мер поддержки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г) определить порядок информирования (в том числе с использованием государственных информационных систем) лиц, названных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о полагающихся им единых базовых мерах поддержки.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>4. Высшим должностным лицам субъектов Российской Федерации: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а) обеспечить предоставление мер поддержки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независимо от даты и места заключения лицами, названными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Указа, контрактов о прохождении военной службы (службы), контрактов о пребывании в добровольческих формированиях,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 </w:t>
      </w:r>
      <w:r>
        <w:lastRenderedPageBreak/>
        <w:t>мая 1996 г. N 61-ФЗ "Об обороне", соглашений (документов, подтверждающих иные правоотношения) с Министерством обороны</w:t>
      </w:r>
      <w:proofErr w:type="gramEnd"/>
      <w:r>
        <w:t xml:space="preserve"> Российской Федерации, контрактов (документов, подтверждающих иные правоотношения) с организациями, содействующими выполнению задач, возложенных на Вооруженные Силы Российской Федерации, на основании документов, выдаваемых: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федеральными государственными органами - в </w:t>
      </w:r>
      <w:proofErr w:type="gramStart"/>
      <w:r>
        <w:t>отношении</w:t>
      </w:r>
      <w:proofErr w:type="gramEnd"/>
      <w:r>
        <w:t xml:space="preserve">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и </w:t>
      </w:r>
      <w:hyperlink w:anchor="P16">
        <w:r>
          <w:rPr>
            <w:color w:val="0000FF"/>
          </w:rPr>
          <w:t>"б" пункта 1</w:t>
        </w:r>
      </w:hyperlink>
      <w:r>
        <w:t xml:space="preserve"> настоящего Указа;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уполномоченными органами исполнительной власти Донецкой Народной Республики, Луганской Народной Республики - в отношении лиц, названных в </w:t>
      </w:r>
      <w:hyperlink w:anchor="P17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б) определить порядок учета мер поддержки, предоставляемых лицам, названным в </w:t>
      </w:r>
      <w:hyperlink w:anchor="P14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Указа;</w:t>
      </w:r>
    </w:p>
    <w:p w:rsidR="00700295" w:rsidRDefault="00700295">
      <w:pPr>
        <w:pStyle w:val="ConsPlusNormal"/>
        <w:spacing w:before="220"/>
        <w:ind w:firstLine="540"/>
        <w:jc w:val="both"/>
      </w:pPr>
      <w:proofErr w:type="gramStart"/>
      <w:r>
        <w:t xml:space="preserve">в) оказывать содействие в рамках партнерских отношений с организациями торговли и иными хозяйствующими субъектами в разработке специальных программ для лиц, названных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предоставлении им скидок на необходимые товары, в том числе посредством выпуска специальных карт;</w:t>
      </w:r>
      <w:proofErr w:type="gramEnd"/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г) обеспечить проведение совместно с некоммерческими организациями информационных кампаний, направленных на формирование в </w:t>
      </w:r>
      <w:proofErr w:type="gramStart"/>
      <w:r>
        <w:t>обществе</w:t>
      </w:r>
      <w:proofErr w:type="gramEnd"/>
      <w:r>
        <w:t xml:space="preserve"> уважительного отношения к лицам, названным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 xml:space="preserve">д) оказывать содействие общественным и иным организациям, деятельность которых направлена на поддержку лиц, названных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Указа, а также на прославление подвигов лиц, названных в </w:t>
      </w:r>
      <w:hyperlink w:anchor="P15">
        <w:r>
          <w:rPr>
            <w:color w:val="0000FF"/>
          </w:rPr>
          <w:t>подпунктах "а"</w:t>
        </w:r>
      </w:hyperlink>
      <w:r>
        <w:t xml:space="preserve"> - </w:t>
      </w:r>
      <w:hyperlink w:anchor="P17">
        <w:r>
          <w:rPr>
            <w:color w:val="0000FF"/>
          </w:rPr>
          <w:t>"в" пункта 1</w:t>
        </w:r>
      </w:hyperlink>
      <w:r>
        <w:t xml:space="preserve"> настоящего Указа.</w:t>
      </w:r>
    </w:p>
    <w:p w:rsidR="00700295" w:rsidRDefault="00700295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700295" w:rsidRDefault="00700295">
      <w:pPr>
        <w:pStyle w:val="ConsPlusNormal"/>
        <w:ind w:firstLine="540"/>
        <w:jc w:val="both"/>
      </w:pPr>
    </w:p>
    <w:p w:rsidR="00700295" w:rsidRDefault="00700295">
      <w:pPr>
        <w:pStyle w:val="ConsPlusNormal"/>
        <w:jc w:val="right"/>
      </w:pPr>
      <w:r>
        <w:t>Президент</w:t>
      </w:r>
    </w:p>
    <w:p w:rsidR="00700295" w:rsidRDefault="00700295">
      <w:pPr>
        <w:pStyle w:val="ConsPlusNormal"/>
        <w:jc w:val="right"/>
      </w:pPr>
      <w:r>
        <w:t>Российской Федерации</w:t>
      </w:r>
    </w:p>
    <w:p w:rsidR="00700295" w:rsidRDefault="00700295">
      <w:pPr>
        <w:pStyle w:val="ConsPlusNormal"/>
        <w:jc w:val="right"/>
      </w:pPr>
      <w:r>
        <w:t>В.ПУТИН</w:t>
      </w:r>
    </w:p>
    <w:p w:rsidR="00700295" w:rsidRDefault="00700295">
      <w:pPr>
        <w:pStyle w:val="ConsPlusNormal"/>
      </w:pPr>
      <w:r>
        <w:t>Москва, Кремль</w:t>
      </w:r>
    </w:p>
    <w:p w:rsidR="00700295" w:rsidRDefault="00700295">
      <w:pPr>
        <w:pStyle w:val="ConsPlusNormal"/>
        <w:spacing w:before="220"/>
      </w:pPr>
      <w:r>
        <w:t>15 мая 2026 года</w:t>
      </w:r>
    </w:p>
    <w:p w:rsidR="00700295" w:rsidRDefault="00700295">
      <w:pPr>
        <w:pStyle w:val="ConsPlusNormal"/>
        <w:spacing w:before="220"/>
      </w:pPr>
      <w:r>
        <w:t>N 327</w:t>
      </w:r>
    </w:p>
    <w:p w:rsidR="00700295" w:rsidRDefault="00700295">
      <w:pPr>
        <w:pStyle w:val="ConsPlusNormal"/>
        <w:jc w:val="both"/>
      </w:pPr>
    </w:p>
    <w:p w:rsidR="00700295" w:rsidRDefault="00700295">
      <w:pPr>
        <w:pStyle w:val="ConsPlusNormal"/>
        <w:jc w:val="both"/>
      </w:pPr>
    </w:p>
    <w:p w:rsidR="00700295" w:rsidRDefault="007002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E7B" w:rsidRDefault="00B16E7B">
      <w:bookmarkStart w:id="6" w:name="_GoBack"/>
      <w:bookmarkEnd w:id="6"/>
    </w:p>
    <w:sectPr w:rsidR="00B16E7B" w:rsidSect="0049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95"/>
    <w:rsid w:val="00241886"/>
    <w:rsid w:val="00700295"/>
    <w:rsid w:val="00B16E7B"/>
    <w:rsid w:val="00B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02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0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02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25&amp;dst=1003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2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25&amp;dst=10034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Дмитриевна</dc:creator>
  <cp:lastModifiedBy>Коновалова Ольга Дмитриевна</cp:lastModifiedBy>
  <cp:revision>1</cp:revision>
  <dcterms:created xsi:type="dcterms:W3CDTF">2026-05-28T07:33:00Z</dcterms:created>
  <dcterms:modified xsi:type="dcterms:W3CDTF">2026-05-28T07:34:00Z</dcterms:modified>
</cp:coreProperties>
</file>